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件1</w:t>
      </w: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“书香城市（区县级）” 发现活动申报表</w:t>
      </w:r>
    </w:p>
    <w:p>
      <w:pPr>
        <w:spacing w:line="540" w:lineRule="exact"/>
        <w:jc w:val="center"/>
        <w:rPr>
          <w:rFonts w:hint="eastAsia" w:ascii="仿宋_GB2312" w:eastAsia="仿宋_GB2312"/>
          <w:b/>
          <w:sz w:val="24"/>
        </w:rPr>
      </w:pPr>
    </w:p>
    <w:tbl>
      <w:tblPr>
        <w:tblStyle w:val="3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835"/>
        <w:gridCol w:w="198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</w:t>
            </w:r>
            <w:r>
              <w:rPr>
                <w:rFonts w:ascii="仿宋_GB2312" w:eastAsia="仿宋_GB2312"/>
                <w:sz w:val="28"/>
              </w:rPr>
              <w:t>旅游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主管部门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办公电话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/手机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QQ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通讯地址（含邮编）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基本概况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创新、特色项目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获奖内容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综述材料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5000字左右，材料另附。</w:t>
            </w:r>
          </w:p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说明：从具体</w:t>
            </w:r>
            <w:r>
              <w:rPr>
                <w:rFonts w:ascii="仿宋_GB2312" w:hAnsi="宋体" w:eastAsia="仿宋_GB2312"/>
                <w:sz w:val="28"/>
                <w:szCs w:val="28"/>
              </w:rPr>
              <w:t>做法、成效及亮点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ascii="仿宋_GB2312" w:hAnsi="宋体" w:eastAsia="仿宋_GB2312"/>
                <w:sz w:val="28"/>
                <w:szCs w:val="28"/>
              </w:rPr>
              <w:t>选择有特色的服务或品牌活动进行详细介绍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承诺保证所填资料的真实性，自愿公开申报资料。如果所填资料经核查属不实或虚假信息，自动放弃参加“书香社区”发现活动，并承担由此产生的相应责任。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申报单位</w:t>
            </w:r>
          </w:p>
          <w:p>
            <w:pPr>
              <w:spacing w:line="440" w:lineRule="exact"/>
              <w:ind w:firstLine="560" w:firstLineChars="2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文化和旅游部门意见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属地省级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图书馆学（协）会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签   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widowControl/>
        <w:spacing w:line="440" w:lineRule="exact"/>
        <w:ind w:left="560" w:hanging="560" w:hanging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备注：1.此文件一式一份；</w:t>
      </w:r>
    </w:p>
    <w:p>
      <w:pPr>
        <w:widowControl/>
        <w:spacing w:line="440" w:lineRule="exact"/>
        <w:ind w:left="840" w:hanging="840" w:hangingChars="3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2.申报单位、文化和旅游部门、省级图书馆学（协）会意见均需签署并盖章；</w:t>
      </w:r>
    </w:p>
    <w:p>
      <w:pPr>
        <w:widowControl/>
        <w:spacing w:line="440" w:lineRule="exact"/>
        <w:ind w:left="420" w:leftChars="200" w:firstLine="420" w:firstLineChars="150"/>
        <w:jc w:val="left"/>
        <w:rPr>
          <w:rFonts w:ascii="仿宋_GB2312" w:eastAsia="仿宋_GB2312"/>
          <w:sz w:val="28"/>
        </w:rPr>
        <w:sectPr>
          <w:headerReference r:id="rId3" w:type="default"/>
          <w:headerReference r:id="rId4" w:type="even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 xml:space="preserve">3.其他申报材料无需邮寄。   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“书香城市（区县级）”发现活动评价指标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64"/>
        <w:gridCol w:w="1222"/>
        <w:gridCol w:w="3440"/>
        <w:gridCol w:w="6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tblHeader/>
          <w:jc w:val="center"/>
        </w:trPr>
        <w:tc>
          <w:tcPr>
            <w:tcW w:w="817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指标类别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ind w:left="-107" w:leftChars="-51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指标值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评价原则及上传资料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必备条件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县级图书馆等级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部颁一级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提供最近一次评估定级一级馆的证明材料（如文件扫描件）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县域总分馆体系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政府主导、资源共享、服务标准统一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提供县级政府颁发的制度文件和相关数据，服务标准文档，资源共享的佐证材料。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人均藏书（纸本）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只指县域总分馆书目库内的藏书。提供官方公布的上一年度常住人口数据及藏书统计报表（或管理系统统计截屏）。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县域总分馆人均年新增藏书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pacing w:val="-6"/>
                <w:kern w:val="0"/>
                <w:sz w:val="28"/>
                <w:szCs w:val="28"/>
              </w:rPr>
              <w:t>册/件</w:t>
            </w:r>
          </w:p>
        </w:tc>
        <w:tc>
          <w:tcPr>
            <w:tcW w:w="344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0.04</w:t>
            </w:r>
          </w:p>
        </w:tc>
        <w:tc>
          <w:tcPr>
            <w:tcW w:w="612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提供报表或统计数据截屏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9085C"/>
    <w:rsid w:val="5CB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2020-05-29T01:30:00Z</dcterms:created>
  <dc:creator>雨后彩虹</dc:creator>
  <cp:lastModifiedBy>雨后彩虹</cp:lastModifiedBy>
  <dcterms:modified xsi:type="dcterms:W3CDTF">2020-05-29T01:32:59Z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